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80" w:lineRule="exact"/>
        <w:jc w:val="center"/>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2021年南京市VOC（清洗剂）产品质量</w:t>
      </w:r>
    </w:p>
    <w:p>
      <w:pPr>
        <w:snapToGrid w:val="0"/>
        <w:spacing w:line="580" w:lineRule="exact"/>
        <w:jc w:val="center"/>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专项监督抽查实施细则</w:t>
      </w:r>
    </w:p>
    <w:p>
      <w:pPr>
        <w:spacing w:line="600" w:lineRule="exact"/>
        <w:ind w:firstLine="643" w:firstLineChars="200"/>
        <w:rPr>
          <w:rFonts w:hint="eastAsia" w:ascii="方正黑体_GBK" w:hAnsi="方正仿宋_GBK" w:eastAsia="方正黑体_GBK" w:cs="方正仿宋_GBK"/>
          <w:b/>
          <w:kern w:val="0"/>
          <w:sz w:val="32"/>
          <w:szCs w:val="32"/>
          <w:shd w:val="clear" w:color="auto" w:fill="FFFFFF"/>
        </w:rPr>
      </w:pPr>
      <w:r>
        <w:rPr>
          <w:rFonts w:ascii="Times New Roman" w:hAnsi="Times New Roman" w:eastAsia="黑体" w:cs="Times New Roman"/>
          <w:b/>
          <w:bCs/>
          <w:sz w:val="32"/>
          <w:szCs w:val="32"/>
        </w:rPr>
        <w:t>1.</w:t>
      </w:r>
      <w:r>
        <w:rPr>
          <w:rFonts w:hint="eastAsia" w:ascii="方正黑体_GBK" w:hAnsi="方正仿宋_GBK" w:eastAsia="方正黑体_GBK" w:cs="方正仿宋_GBK"/>
          <w:b/>
          <w:kern w:val="0"/>
          <w:sz w:val="32"/>
          <w:szCs w:val="32"/>
          <w:shd w:val="clear" w:color="auto" w:fill="FFFFFF"/>
        </w:rPr>
        <w:t>范围</w:t>
      </w:r>
    </w:p>
    <w:p>
      <w:pPr>
        <w:snapToGrid w:val="0"/>
        <w:spacing w:line="580" w:lineRule="exact"/>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本细则适用于南京市市场监督管理局组织的VOC（清洗剂）产品质量专项监督抽查检验。本细则规定了此产品的抽样方法、检验依据、检验项目、检验方法、判定原则、异议处理及复检。</w:t>
      </w:r>
    </w:p>
    <w:p>
      <w:pPr>
        <w:snapToGrid w:val="0"/>
        <w:spacing w:line="580" w:lineRule="exact"/>
        <w:ind w:firstLine="640" w:firstLineChars="200"/>
        <w:jc w:val="left"/>
        <w:rPr>
          <w:rFonts w:hint="eastAsia" w:ascii="方正黑体_GBK" w:hAnsi="方正仿宋_GBK" w:eastAsia="方正黑体_GBK" w:cs="方正仿宋_GBK"/>
          <w:b/>
          <w:kern w:val="0"/>
          <w:sz w:val="32"/>
          <w:szCs w:val="32"/>
          <w:shd w:val="clear" w:color="auto" w:fill="FFFFFF"/>
        </w:rPr>
      </w:pPr>
      <w:r>
        <w:rPr>
          <w:rFonts w:ascii="Times New Roman" w:hAnsi="Times New Roman" w:eastAsia="方正黑体_GBK" w:cs="Times New Roman"/>
          <w:b/>
          <w:kern w:val="0"/>
          <w:sz w:val="32"/>
          <w:szCs w:val="32"/>
          <w:shd w:val="clear" w:color="auto" w:fill="FFFFFF"/>
        </w:rPr>
        <w:t>2.</w:t>
      </w:r>
      <w:r>
        <w:rPr>
          <w:rFonts w:hint="eastAsia" w:ascii="方正黑体_GBK" w:hAnsi="方正仿宋_GBK" w:eastAsia="方正黑体_GBK" w:cs="方正仿宋_GBK"/>
          <w:b/>
          <w:kern w:val="0"/>
          <w:sz w:val="32"/>
          <w:szCs w:val="32"/>
          <w:shd w:val="clear" w:color="auto" w:fill="FFFFFF"/>
        </w:rPr>
        <w:t>抽样方法</w:t>
      </w:r>
    </w:p>
    <w:p>
      <w:pPr>
        <w:adjustRightInd w:val="0"/>
        <w:snapToGrid w:val="0"/>
        <w:spacing w:line="520" w:lineRule="atLeast"/>
        <w:rPr>
          <w:rFonts w:hint="eastAsia" w:ascii="方正仿宋_GBK" w:hAnsi="方正仿宋_GBK" w:eastAsia="方正仿宋_GBK" w:cs="方正仿宋_GBK"/>
          <w:sz w:val="32"/>
          <w:szCs w:val="32"/>
        </w:rPr>
      </w:pPr>
      <w:r>
        <w:rPr>
          <w:rFonts w:hint="eastAsia" w:ascii="方正黑体_GBK" w:hAnsi="方正仿宋_GBK" w:eastAsia="方正黑体_GBK" w:cs="方正仿宋_GBK"/>
          <w:kern w:val="0"/>
          <w:sz w:val="32"/>
          <w:szCs w:val="32"/>
          <w:shd w:val="clear" w:color="auto" w:fill="FFFFFF"/>
        </w:rPr>
        <w:t xml:space="preserve">    </w:t>
      </w:r>
      <w:r>
        <w:rPr>
          <w:rFonts w:hint="eastAsia" w:ascii="方正仿宋_GBK" w:hAnsi="方正仿宋_GBK" w:eastAsia="方正仿宋_GBK" w:cs="方正仿宋_GBK"/>
          <w:sz w:val="32"/>
          <w:szCs w:val="32"/>
        </w:rPr>
        <w:t>2.1抽检工作时间安排</w:t>
      </w:r>
    </w:p>
    <w:p>
      <w:pPr>
        <w:adjustRightInd w:val="0"/>
        <w:snapToGrid w:val="0"/>
        <w:spacing w:line="520" w:lineRule="atLeas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抽样截止时间2021年10月30日。</w:t>
      </w:r>
    </w:p>
    <w:p>
      <w:pPr>
        <w:snapToGrid w:val="0"/>
        <w:spacing w:line="580" w:lineRule="exact"/>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检验应于12月1日前完成，抽检质量分析报告应于2021年12月10日前完成。</w:t>
      </w:r>
    </w:p>
    <w:p>
      <w:pPr>
        <w:adjustRightInd w:val="0"/>
        <w:snapToGrid w:val="0"/>
        <w:spacing w:line="520" w:lineRule="atLeast"/>
        <w:rPr>
          <w:rFonts w:hint="eastAsia" w:ascii="宋体" w:hAnsi="宋体"/>
          <w:color w:val="000000"/>
        </w:rPr>
      </w:pPr>
      <w:r>
        <w:rPr>
          <w:rFonts w:hint="eastAsia" w:ascii="方正仿宋_GBK" w:hAnsi="方正仿宋_GBK" w:eastAsia="方正仿宋_GBK" w:cs="方正仿宋_GBK"/>
          <w:sz w:val="32"/>
          <w:szCs w:val="32"/>
        </w:rPr>
        <w:t xml:space="preserve">    2.2清洗剂采样地点和数量</w:t>
      </w:r>
    </w:p>
    <w:p>
      <w:pPr>
        <w:snapToGrid w:val="0"/>
        <w:spacing w:line="480" w:lineRule="exact"/>
        <w:jc w:val="center"/>
        <w:rPr>
          <w:rFonts w:ascii="宋体" w:hAnsi="宋体" w:eastAsia="宋体"/>
          <w:color w:val="000000"/>
        </w:rPr>
      </w:pPr>
      <w:r>
        <w:rPr>
          <w:rFonts w:hint="eastAsia" w:ascii="黑体" w:hAnsi="黑体" w:eastAsia="黑体"/>
          <w:color w:val="000000"/>
          <w:szCs w:val="21"/>
        </w:rPr>
        <w:t>表1 清洗剂采样地点和数量</w:t>
      </w:r>
    </w:p>
    <w:tbl>
      <w:tblPr>
        <w:tblStyle w:val="4"/>
        <w:tblpPr w:leftFromText="180" w:rightFromText="180" w:vertAnchor="text" w:horzAnchor="page" w:tblpXSpec="center" w:tblpY="252"/>
        <w:tblOverlap w:val="never"/>
        <w:tblW w:w="71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992"/>
        <w:gridCol w:w="1560"/>
        <w:gridCol w:w="28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pPr>
              <w:snapToGrid w:val="0"/>
              <w:spacing w:line="480" w:lineRule="exact"/>
              <w:jc w:val="center"/>
              <w:rPr>
                <w:rFonts w:hint="eastAsia" w:ascii="宋体" w:hAnsi="宋体"/>
                <w:color w:val="000000"/>
              </w:rPr>
            </w:pPr>
            <w:r>
              <w:rPr>
                <w:rFonts w:hint="eastAsia" w:ascii="黑体" w:hAnsi="黑体" w:eastAsia="黑体"/>
                <w:color w:val="000000"/>
                <w:szCs w:val="21"/>
              </w:rPr>
              <w:t>抽（采）样地点</w:t>
            </w:r>
          </w:p>
        </w:tc>
        <w:tc>
          <w:tcPr>
            <w:tcW w:w="992" w:type="dxa"/>
            <w:vAlign w:val="center"/>
          </w:tcPr>
          <w:p>
            <w:pPr>
              <w:snapToGrid w:val="0"/>
              <w:spacing w:line="480" w:lineRule="exact"/>
              <w:jc w:val="center"/>
              <w:rPr>
                <w:rFonts w:hint="eastAsia" w:ascii="宋体" w:hAnsi="宋体"/>
                <w:color w:val="000000"/>
              </w:rPr>
            </w:pPr>
            <w:r>
              <w:rPr>
                <w:rFonts w:hint="eastAsia" w:ascii="黑体" w:hAnsi="黑体" w:eastAsia="黑体"/>
                <w:color w:val="000000"/>
                <w:szCs w:val="21"/>
              </w:rPr>
              <w:t>抽（采）样批次</w:t>
            </w:r>
          </w:p>
        </w:tc>
        <w:tc>
          <w:tcPr>
            <w:tcW w:w="1560" w:type="dxa"/>
            <w:vAlign w:val="center"/>
          </w:tcPr>
          <w:p>
            <w:pPr>
              <w:snapToGrid w:val="0"/>
              <w:spacing w:line="480" w:lineRule="exact"/>
              <w:jc w:val="center"/>
              <w:rPr>
                <w:rFonts w:hint="eastAsia" w:ascii="宋体" w:hAnsi="宋体"/>
                <w:color w:val="000000"/>
              </w:rPr>
            </w:pPr>
            <w:r>
              <w:rPr>
                <w:rFonts w:hint="eastAsia" w:ascii="黑体" w:hAnsi="黑体" w:eastAsia="黑体"/>
                <w:color w:val="000000"/>
                <w:szCs w:val="21"/>
              </w:rPr>
              <w:t>每批次样品数量/留样数量</w:t>
            </w:r>
          </w:p>
        </w:tc>
        <w:tc>
          <w:tcPr>
            <w:tcW w:w="2891" w:type="dxa"/>
            <w:vAlign w:val="center"/>
          </w:tcPr>
          <w:p>
            <w:pPr>
              <w:snapToGrid w:val="0"/>
              <w:spacing w:line="480" w:lineRule="exact"/>
              <w:jc w:val="center"/>
              <w:rPr>
                <w:rFonts w:hint="eastAsia" w:ascii="宋体" w:hAnsi="宋体"/>
                <w:color w:val="000000"/>
              </w:rPr>
            </w:pPr>
            <w:r>
              <w:rPr>
                <w:rFonts w:hint="eastAsia" w:ascii="黑体" w:hAnsi="黑体" w:eastAsia="黑体"/>
                <w:color w:val="000000"/>
                <w:szCs w:val="21"/>
              </w:rPr>
              <w:t>备注（涉及不同材质、规格的产品在备注中说明）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pPr>
              <w:snapToGrid w:val="0"/>
              <w:spacing w:line="480" w:lineRule="exact"/>
              <w:jc w:val="center"/>
              <w:rPr>
                <w:rFonts w:hint="eastAsia" w:ascii="宋体" w:hAnsi="宋体" w:eastAsia="黑体"/>
                <w:color w:val="000000"/>
              </w:rPr>
            </w:pPr>
            <w:r>
              <w:rPr>
                <w:rFonts w:hint="eastAsia" w:ascii="黑体" w:hAnsi="黑体" w:eastAsia="黑体"/>
                <w:color w:val="000000"/>
                <w:szCs w:val="21"/>
              </w:rPr>
              <w:t>生产企业</w:t>
            </w:r>
          </w:p>
        </w:tc>
        <w:tc>
          <w:tcPr>
            <w:tcW w:w="992" w:type="dxa"/>
            <w:vAlign w:val="center"/>
          </w:tcPr>
          <w:p>
            <w:pPr>
              <w:snapToGrid w:val="0"/>
              <w:spacing w:line="480" w:lineRule="exact"/>
              <w:jc w:val="center"/>
              <w:rPr>
                <w:rFonts w:hint="eastAsia" w:ascii="宋体" w:hAnsi="宋体"/>
                <w:color w:val="000000"/>
              </w:rPr>
            </w:pPr>
            <w:r>
              <w:rPr>
                <w:rFonts w:hint="eastAsia" w:ascii="黑体" w:hAnsi="黑体" w:eastAsia="黑体"/>
                <w:color w:val="000000"/>
                <w:szCs w:val="21"/>
              </w:rPr>
              <w:t>15批次</w:t>
            </w:r>
          </w:p>
        </w:tc>
        <w:tc>
          <w:tcPr>
            <w:tcW w:w="1560" w:type="dxa"/>
            <w:vAlign w:val="center"/>
          </w:tcPr>
          <w:p>
            <w:pPr>
              <w:snapToGrid w:val="0"/>
              <w:spacing w:line="480" w:lineRule="exact"/>
              <w:jc w:val="center"/>
              <w:rPr>
                <w:rFonts w:hint="eastAsia" w:ascii="黑体" w:hAnsi="黑体" w:eastAsia="黑体"/>
                <w:color w:val="000000"/>
                <w:szCs w:val="21"/>
              </w:rPr>
            </w:pPr>
            <w:r>
              <w:rPr>
                <w:rFonts w:hint="eastAsia" w:ascii="黑体" w:hAnsi="黑体" w:eastAsia="黑体"/>
                <w:color w:val="000000"/>
                <w:szCs w:val="21"/>
              </w:rPr>
              <w:t>4个独立包装/2个独立包装</w:t>
            </w:r>
          </w:p>
        </w:tc>
        <w:tc>
          <w:tcPr>
            <w:tcW w:w="2891" w:type="dxa"/>
            <w:vAlign w:val="center"/>
          </w:tcPr>
          <w:p>
            <w:pPr>
              <w:snapToGrid w:val="0"/>
              <w:spacing w:line="480" w:lineRule="exact"/>
              <w:jc w:val="center"/>
              <w:rPr>
                <w:rFonts w:hint="eastAsia" w:ascii="黑体" w:hAnsi="黑体" w:eastAsia="黑体"/>
                <w:color w:val="000000"/>
                <w:szCs w:val="21"/>
              </w:rPr>
            </w:pPr>
            <w:r>
              <w:rPr>
                <w:rFonts w:hint="eastAsia" w:ascii="黑体" w:hAnsi="黑体" w:eastAsia="黑体"/>
                <w:color w:val="000000"/>
                <w:szCs w:val="21"/>
              </w:rPr>
              <w:t>总量不少于200g(mL</w:t>
            </w:r>
            <w:r>
              <w:rPr>
                <w:rFonts w:ascii="黑体" w:hAnsi="黑体" w:eastAsia="黑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pPr>
              <w:snapToGrid w:val="0"/>
              <w:spacing w:line="480" w:lineRule="exact"/>
              <w:jc w:val="center"/>
              <w:rPr>
                <w:rFonts w:hint="eastAsia" w:ascii="黑体" w:hAnsi="黑体" w:eastAsia="黑体"/>
                <w:color w:val="000000"/>
                <w:szCs w:val="21"/>
              </w:rPr>
            </w:pPr>
            <w:r>
              <w:rPr>
                <w:rFonts w:hint="eastAsia" w:ascii="黑体" w:hAnsi="黑体" w:eastAsia="黑体"/>
                <w:color w:val="000000"/>
                <w:szCs w:val="21"/>
              </w:rPr>
              <w:t>南京市实体店</w:t>
            </w:r>
          </w:p>
        </w:tc>
        <w:tc>
          <w:tcPr>
            <w:tcW w:w="992" w:type="dxa"/>
            <w:vAlign w:val="center"/>
          </w:tcPr>
          <w:p>
            <w:pPr>
              <w:snapToGrid w:val="0"/>
              <w:spacing w:line="480" w:lineRule="exact"/>
              <w:jc w:val="center"/>
              <w:rPr>
                <w:rFonts w:hint="eastAsia" w:ascii="黑体" w:hAnsi="黑体" w:eastAsia="黑体"/>
                <w:color w:val="000000"/>
                <w:szCs w:val="21"/>
              </w:rPr>
            </w:pPr>
            <w:r>
              <w:rPr>
                <w:rFonts w:hint="eastAsia" w:ascii="黑体" w:hAnsi="黑体" w:eastAsia="黑体"/>
                <w:color w:val="000000"/>
                <w:szCs w:val="21"/>
              </w:rPr>
              <w:t>10批次</w:t>
            </w:r>
          </w:p>
        </w:tc>
        <w:tc>
          <w:tcPr>
            <w:tcW w:w="1560" w:type="dxa"/>
            <w:vAlign w:val="center"/>
          </w:tcPr>
          <w:p>
            <w:pPr>
              <w:snapToGrid w:val="0"/>
              <w:spacing w:line="480" w:lineRule="exact"/>
              <w:jc w:val="center"/>
              <w:rPr>
                <w:rFonts w:hint="eastAsia" w:ascii="黑体" w:hAnsi="黑体" w:eastAsia="黑体"/>
                <w:color w:val="000000"/>
                <w:szCs w:val="21"/>
              </w:rPr>
            </w:pPr>
            <w:r>
              <w:rPr>
                <w:rFonts w:hint="eastAsia" w:ascii="黑体" w:hAnsi="黑体" w:eastAsia="黑体"/>
                <w:color w:val="000000"/>
                <w:szCs w:val="21"/>
              </w:rPr>
              <w:t>4个独立包装/2个独立包装</w:t>
            </w:r>
          </w:p>
        </w:tc>
        <w:tc>
          <w:tcPr>
            <w:tcW w:w="2891" w:type="dxa"/>
            <w:vAlign w:val="center"/>
          </w:tcPr>
          <w:p>
            <w:pPr>
              <w:snapToGrid w:val="0"/>
              <w:spacing w:line="480" w:lineRule="exact"/>
              <w:jc w:val="center"/>
              <w:rPr>
                <w:rFonts w:hint="eastAsia" w:ascii="黑体" w:hAnsi="黑体" w:eastAsia="黑体"/>
                <w:color w:val="000000"/>
                <w:szCs w:val="21"/>
              </w:rPr>
            </w:pPr>
            <w:r>
              <w:rPr>
                <w:rFonts w:hint="eastAsia" w:ascii="黑体" w:hAnsi="黑体" w:eastAsia="黑体"/>
                <w:color w:val="000000"/>
                <w:szCs w:val="21"/>
              </w:rPr>
              <w:t>总量不少于200g(mL</w:t>
            </w:r>
            <w:r>
              <w:rPr>
                <w:rFonts w:ascii="黑体" w:hAnsi="黑体" w:eastAsia="黑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pPr>
              <w:snapToGrid w:val="0"/>
              <w:spacing w:line="480" w:lineRule="exact"/>
              <w:jc w:val="center"/>
              <w:rPr>
                <w:rFonts w:hint="eastAsia" w:ascii="黑体" w:hAnsi="黑体" w:eastAsia="黑体"/>
                <w:color w:val="000000"/>
                <w:szCs w:val="21"/>
              </w:rPr>
            </w:pPr>
            <w:r>
              <w:rPr>
                <w:rFonts w:hint="eastAsia" w:ascii="黑体" w:hAnsi="黑体" w:eastAsia="黑体"/>
                <w:color w:val="000000"/>
                <w:szCs w:val="21"/>
              </w:rPr>
              <w:t>注册地</w:t>
            </w:r>
            <w:r>
              <w:rPr>
                <w:rFonts w:hint="eastAsia" w:ascii="黑体" w:hAnsi="黑体" w:eastAsia="黑体"/>
                <w:color w:val="000000"/>
                <w:szCs w:val="21"/>
                <w:lang w:eastAsia="zh-CN"/>
              </w:rPr>
              <w:t>在</w:t>
            </w:r>
            <w:r>
              <w:rPr>
                <w:rFonts w:hint="eastAsia" w:ascii="黑体" w:hAnsi="黑体" w:eastAsia="黑体"/>
                <w:color w:val="000000"/>
                <w:szCs w:val="21"/>
              </w:rPr>
              <w:t>南京市的网店</w:t>
            </w:r>
          </w:p>
        </w:tc>
        <w:tc>
          <w:tcPr>
            <w:tcW w:w="992" w:type="dxa"/>
            <w:vAlign w:val="center"/>
          </w:tcPr>
          <w:p>
            <w:pPr>
              <w:snapToGrid w:val="0"/>
              <w:spacing w:line="480" w:lineRule="exact"/>
              <w:jc w:val="center"/>
              <w:rPr>
                <w:rFonts w:hint="eastAsia" w:ascii="黑体" w:hAnsi="黑体" w:eastAsia="黑体"/>
                <w:color w:val="000000"/>
                <w:szCs w:val="21"/>
              </w:rPr>
            </w:pPr>
            <w:r>
              <w:rPr>
                <w:rFonts w:hint="eastAsia" w:ascii="黑体" w:hAnsi="黑体" w:eastAsia="黑体"/>
                <w:color w:val="000000"/>
                <w:szCs w:val="21"/>
              </w:rPr>
              <w:t>5批次</w:t>
            </w:r>
          </w:p>
        </w:tc>
        <w:tc>
          <w:tcPr>
            <w:tcW w:w="1560" w:type="dxa"/>
            <w:vAlign w:val="center"/>
          </w:tcPr>
          <w:p>
            <w:pPr>
              <w:snapToGrid w:val="0"/>
              <w:spacing w:line="480" w:lineRule="exact"/>
              <w:jc w:val="center"/>
              <w:rPr>
                <w:rFonts w:hint="eastAsia" w:ascii="黑体" w:hAnsi="黑体" w:eastAsia="黑体"/>
                <w:color w:val="000000"/>
                <w:szCs w:val="21"/>
              </w:rPr>
            </w:pPr>
            <w:r>
              <w:rPr>
                <w:rFonts w:hint="eastAsia" w:ascii="黑体" w:hAnsi="黑体" w:eastAsia="黑体"/>
                <w:color w:val="000000"/>
                <w:szCs w:val="21"/>
              </w:rPr>
              <w:t>4个独立包装/2个独立包装</w:t>
            </w:r>
          </w:p>
        </w:tc>
        <w:tc>
          <w:tcPr>
            <w:tcW w:w="2891" w:type="dxa"/>
            <w:vAlign w:val="center"/>
          </w:tcPr>
          <w:p>
            <w:pPr>
              <w:snapToGrid w:val="0"/>
              <w:spacing w:line="480" w:lineRule="exact"/>
              <w:jc w:val="center"/>
              <w:rPr>
                <w:rFonts w:hint="eastAsia" w:ascii="黑体" w:hAnsi="黑体" w:eastAsia="黑体"/>
                <w:color w:val="000000"/>
                <w:szCs w:val="21"/>
              </w:rPr>
            </w:pPr>
            <w:r>
              <w:rPr>
                <w:rFonts w:hint="eastAsia" w:ascii="黑体" w:hAnsi="黑体" w:eastAsia="黑体"/>
                <w:color w:val="000000"/>
                <w:szCs w:val="21"/>
              </w:rPr>
              <w:t>总量不少于200g(mL</w:t>
            </w:r>
            <w:r>
              <w:rPr>
                <w:rFonts w:ascii="黑体" w:hAnsi="黑体" w:eastAsia="黑体"/>
                <w:color w:val="000000"/>
                <w:szCs w:val="21"/>
              </w:rPr>
              <w:t>)</w:t>
            </w:r>
          </w:p>
        </w:tc>
      </w:tr>
    </w:tbl>
    <w:p>
      <w:pPr>
        <w:snapToGrid w:val="0"/>
        <w:spacing w:line="580" w:lineRule="exact"/>
        <w:ind w:firstLine="420" w:firstLineChars="200"/>
        <w:jc w:val="left"/>
        <w:rPr>
          <w:rFonts w:hint="eastAsia" w:asciiTheme="minorEastAsia" w:hAnsiTheme="minorEastAsia"/>
        </w:rPr>
      </w:pPr>
    </w:p>
    <w:p>
      <w:pPr>
        <w:snapToGrid w:val="0"/>
        <w:spacing w:line="580" w:lineRule="exact"/>
        <w:ind w:firstLine="420" w:firstLineChars="200"/>
        <w:jc w:val="left"/>
        <w:rPr>
          <w:rFonts w:hint="eastAsia" w:asciiTheme="minorEastAsia" w:hAnsiTheme="minorEastAsia"/>
        </w:rPr>
      </w:pPr>
    </w:p>
    <w:p>
      <w:pPr>
        <w:snapToGrid w:val="0"/>
        <w:spacing w:line="580" w:lineRule="exact"/>
        <w:ind w:firstLine="420" w:firstLineChars="200"/>
        <w:jc w:val="left"/>
        <w:rPr>
          <w:rFonts w:hint="eastAsia" w:asciiTheme="minorEastAsia" w:hAnsiTheme="minorEastAsia"/>
        </w:rPr>
      </w:pPr>
    </w:p>
    <w:p>
      <w:pPr>
        <w:snapToGrid w:val="0"/>
        <w:spacing w:line="580" w:lineRule="exact"/>
        <w:ind w:firstLine="420" w:firstLineChars="200"/>
        <w:jc w:val="left"/>
        <w:rPr>
          <w:rFonts w:hint="eastAsia" w:asciiTheme="minorEastAsia" w:hAnsiTheme="minorEastAsia"/>
        </w:rPr>
      </w:pPr>
    </w:p>
    <w:p>
      <w:pPr>
        <w:snapToGrid w:val="0"/>
        <w:spacing w:line="580" w:lineRule="exact"/>
        <w:ind w:firstLine="420" w:firstLineChars="200"/>
        <w:jc w:val="left"/>
        <w:rPr>
          <w:rFonts w:hint="eastAsia" w:asciiTheme="minorEastAsia" w:hAnsiTheme="minorEastAsia"/>
        </w:rPr>
      </w:pPr>
    </w:p>
    <w:p>
      <w:pPr>
        <w:snapToGrid w:val="0"/>
        <w:spacing w:line="580" w:lineRule="exact"/>
        <w:ind w:firstLine="420" w:firstLineChars="200"/>
        <w:jc w:val="left"/>
        <w:rPr>
          <w:rFonts w:hint="eastAsia" w:asciiTheme="minorEastAsia" w:hAnsiTheme="minorEastAsia"/>
        </w:rPr>
      </w:pPr>
    </w:p>
    <w:p>
      <w:pPr>
        <w:snapToGrid w:val="0"/>
        <w:spacing w:line="580" w:lineRule="exact"/>
        <w:ind w:firstLine="420" w:firstLineChars="200"/>
        <w:jc w:val="left"/>
        <w:rPr>
          <w:rFonts w:hint="eastAsia" w:asciiTheme="minorEastAsia" w:hAnsiTheme="minorEastAsia"/>
        </w:rPr>
      </w:pPr>
    </w:p>
    <w:p>
      <w:pPr>
        <w:snapToGrid w:val="0"/>
        <w:spacing w:line="580" w:lineRule="exact"/>
        <w:ind w:firstLine="420" w:firstLineChars="200"/>
        <w:jc w:val="left"/>
        <w:rPr>
          <w:rFonts w:hint="eastAsia" w:asciiTheme="minorEastAsia" w:hAnsiTheme="minorEastAsia"/>
        </w:rPr>
      </w:pPr>
    </w:p>
    <w:p>
      <w:pPr>
        <w:adjustRightInd w:val="0"/>
        <w:snapToGrid w:val="0"/>
        <w:spacing w:line="520" w:lineRule="atLeas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由南京市市场监督管理局委托，江苏省产品质量监督检验研究院负责抽样和检验，所抽样品数量应满足检验和备份要求，包装完整、标识齐全、封样完好，所有样品的剩余有效期均不得少于6个月。</w:t>
      </w:r>
    </w:p>
    <w:p>
      <w:pPr>
        <w:widowControl/>
        <w:spacing w:line="500" w:lineRule="exact"/>
        <w:ind w:firstLine="640"/>
        <w:jc w:val="left"/>
        <w:rPr>
          <w:rFonts w:ascii="宋体" w:hAnsi="宋体" w:cs="宋体"/>
          <w:color w:val="000000"/>
          <w:kern w:val="0"/>
          <w:sz w:val="28"/>
          <w:szCs w:val="28"/>
        </w:rPr>
      </w:pPr>
      <w:r>
        <w:rPr>
          <w:rFonts w:hint="eastAsia" w:ascii="方正仿宋_GBK" w:hAnsi="方正仿宋_GBK" w:eastAsia="方正仿宋_GBK" w:cs="方正仿宋_GBK"/>
          <w:sz w:val="32"/>
          <w:szCs w:val="32"/>
        </w:rPr>
        <w:t>抽样工作由承检机构持“江苏省产品质量监督检验员证”的不少于2名工作人员共同完成。生产企业抽样或实体店购样，检验用样品按进货价购买，备用样品按要求封存在</w:t>
      </w:r>
      <w:r>
        <w:rPr>
          <w:rFonts w:hint="eastAsia" w:ascii="方正仿宋_GBK" w:hAnsi="方正仿宋_GBK" w:eastAsia="方正仿宋_GBK" w:cs="方正仿宋_GBK"/>
          <w:sz w:val="32"/>
          <w:szCs w:val="32"/>
          <w:lang w:eastAsia="zh-CN"/>
        </w:rPr>
        <w:t>被检单位</w:t>
      </w:r>
      <w:bookmarkStart w:id="0" w:name="_GoBack"/>
      <w:bookmarkEnd w:id="0"/>
      <w:r>
        <w:rPr>
          <w:rFonts w:hint="eastAsia" w:ascii="方正仿宋_GBK" w:hAnsi="方正仿宋_GBK" w:eastAsia="方正仿宋_GBK" w:cs="方正仿宋_GBK"/>
          <w:sz w:val="32"/>
          <w:szCs w:val="32"/>
        </w:rPr>
        <w:t>，采样过程均需拍照留证</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电商平台，监督抽查所需检验样品及备用样品由承检机构一并付费购买，备用样品封存于承检机构。一经采样，立即封样，任何人不得调换。</w:t>
      </w:r>
    </w:p>
    <w:p>
      <w:pPr>
        <w:adjustRightInd w:val="0"/>
        <w:snapToGrid w:val="0"/>
        <w:spacing w:line="520" w:lineRule="atLeast"/>
        <w:rPr>
          <w:rFonts w:hint="eastAsia" w:asciiTheme="minorEastAsia" w:hAnsiTheme="minorEastAsia"/>
        </w:rPr>
      </w:pPr>
    </w:p>
    <w:p>
      <w:pPr>
        <w:snapToGrid w:val="0"/>
        <w:spacing w:line="580" w:lineRule="exact"/>
        <w:ind w:firstLine="640" w:firstLineChars="200"/>
        <w:jc w:val="left"/>
        <w:rPr>
          <w:rFonts w:hint="eastAsia" w:ascii="方正黑体_GBK" w:hAnsi="方正仿宋_GBK" w:eastAsia="方正黑体_GBK" w:cs="方正仿宋_GBK"/>
          <w:b/>
          <w:kern w:val="0"/>
          <w:sz w:val="32"/>
          <w:szCs w:val="32"/>
          <w:shd w:val="clear" w:color="auto" w:fill="FFFFFF"/>
        </w:rPr>
      </w:pPr>
      <w:r>
        <w:rPr>
          <w:rFonts w:hint="eastAsia" w:ascii="Times New Roman" w:hAnsi="Times New Roman" w:eastAsia="方正仿宋_GBK" w:cs="Times New Roman"/>
          <w:b/>
          <w:kern w:val="0"/>
          <w:sz w:val="32"/>
          <w:szCs w:val="32"/>
          <w:shd w:val="clear" w:color="auto" w:fill="FFFFFF"/>
        </w:rPr>
        <w:t>3.</w:t>
      </w:r>
      <w:r>
        <w:rPr>
          <w:rFonts w:hint="eastAsia" w:ascii="方正黑体_GBK" w:hAnsi="方正仿宋_GBK" w:eastAsia="方正黑体_GBK" w:cs="方正仿宋_GBK"/>
          <w:b/>
          <w:kern w:val="0"/>
          <w:sz w:val="32"/>
          <w:szCs w:val="32"/>
          <w:shd w:val="clear" w:color="auto" w:fill="FFFFFF"/>
        </w:rPr>
        <w:t>检验依据</w:t>
      </w:r>
    </w:p>
    <w:p>
      <w:pPr>
        <w:adjustRightInd w:val="0"/>
        <w:snapToGrid w:val="0"/>
        <w:spacing w:line="520" w:lineRule="exact"/>
        <w:ind w:firstLine="640" w:firstLineChars="200"/>
        <w:rPr>
          <w:rFonts w:hint="eastAsia" w:ascii="方正黑体_GBK" w:eastAsia="方正黑体_GBK"/>
          <w:color w:val="000000"/>
          <w:sz w:val="32"/>
        </w:rPr>
      </w:pPr>
      <w:r>
        <w:rPr>
          <w:rFonts w:hint="eastAsia" w:ascii="方正仿宋_GBK" w:hAnsi="方正仿宋_GBK" w:eastAsia="方正仿宋_GBK" w:cs="方正仿宋_GBK"/>
          <w:sz w:val="32"/>
          <w:szCs w:val="32"/>
        </w:rPr>
        <w:t>本次清洗剂监督抽检的依据是国家强制性标准GB30508-2020《清洗剂挥发性有机化合物含量限值》，具体检验项目见下表：</w:t>
      </w:r>
    </w:p>
    <w:p>
      <w:pPr>
        <w:snapToGrid w:val="0"/>
        <w:spacing w:line="480" w:lineRule="exact"/>
        <w:jc w:val="center"/>
        <w:rPr>
          <w:rFonts w:hint="eastAsia" w:ascii="黑体" w:hAnsi="黑体" w:eastAsia="黑体"/>
          <w:color w:val="000000"/>
          <w:szCs w:val="21"/>
        </w:rPr>
      </w:pPr>
      <w:r>
        <w:rPr>
          <w:rFonts w:hint="eastAsia" w:ascii="黑体" w:hAnsi="黑体" w:eastAsia="黑体"/>
          <w:color w:val="000000"/>
          <w:szCs w:val="21"/>
        </w:rPr>
        <w:t>表2. 清洗剂检验项目与标准</w:t>
      </w:r>
    </w:p>
    <w:tbl>
      <w:tblPr>
        <w:tblStyle w:val="4"/>
        <w:tblW w:w="83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
        <w:gridCol w:w="2990"/>
        <w:gridCol w:w="1980"/>
        <w:gridCol w:w="2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74" w:type="dxa"/>
            <w:vAlign w:val="center"/>
          </w:tcPr>
          <w:p>
            <w:pPr>
              <w:snapToGrid w:val="0"/>
              <w:spacing w:line="480" w:lineRule="exact"/>
              <w:jc w:val="center"/>
              <w:rPr>
                <w:rFonts w:hint="eastAsia" w:ascii="黑体" w:hAnsi="黑体" w:eastAsia="黑体"/>
                <w:color w:val="000000"/>
                <w:szCs w:val="21"/>
              </w:rPr>
            </w:pPr>
            <w:r>
              <w:rPr>
                <w:rFonts w:hint="eastAsia" w:ascii="黑体" w:hAnsi="黑体" w:eastAsia="黑体"/>
                <w:color w:val="000000"/>
                <w:szCs w:val="21"/>
              </w:rPr>
              <w:t>序号</w:t>
            </w:r>
          </w:p>
        </w:tc>
        <w:tc>
          <w:tcPr>
            <w:tcW w:w="2990" w:type="dxa"/>
            <w:vAlign w:val="center"/>
          </w:tcPr>
          <w:p>
            <w:pPr>
              <w:snapToGrid w:val="0"/>
              <w:spacing w:line="480" w:lineRule="exact"/>
              <w:jc w:val="center"/>
              <w:rPr>
                <w:rFonts w:hint="eastAsia" w:ascii="黑体" w:hAnsi="黑体" w:eastAsia="黑体"/>
                <w:color w:val="000000"/>
                <w:szCs w:val="21"/>
              </w:rPr>
            </w:pPr>
            <w:r>
              <w:rPr>
                <w:rFonts w:hint="eastAsia" w:ascii="黑体" w:hAnsi="黑体" w:eastAsia="黑体"/>
                <w:color w:val="000000"/>
                <w:szCs w:val="21"/>
              </w:rPr>
              <w:t>检验项目</w:t>
            </w:r>
          </w:p>
        </w:tc>
        <w:tc>
          <w:tcPr>
            <w:tcW w:w="1980" w:type="dxa"/>
            <w:vAlign w:val="center"/>
          </w:tcPr>
          <w:p>
            <w:pPr>
              <w:snapToGrid w:val="0"/>
              <w:spacing w:line="480" w:lineRule="exact"/>
              <w:jc w:val="center"/>
              <w:rPr>
                <w:rFonts w:hint="eastAsia" w:ascii="黑体" w:hAnsi="黑体" w:eastAsia="黑体"/>
                <w:color w:val="000000"/>
                <w:szCs w:val="21"/>
              </w:rPr>
            </w:pPr>
            <w:r>
              <w:rPr>
                <w:rFonts w:hint="eastAsia" w:ascii="黑体" w:hAnsi="黑体" w:eastAsia="黑体"/>
                <w:color w:val="000000"/>
                <w:szCs w:val="21"/>
              </w:rPr>
              <w:t>判定标准</w:t>
            </w:r>
          </w:p>
        </w:tc>
        <w:tc>
          <w:tcPr>
            <w:tcW w:w="2535" w:type="dxa"/>
            <w:vAlign w:val="center"/>
          </w:tcPr>
          <w:p>
            <w:pPr>
              <w:snapToGrid w:val="0"/>
              <w:spacing w:line="480" w:lineRule="exact"/>
              <w:jc w:val="center"/>
              <w:rPr>
                <w:rFonts w:hint="eastAsia" w:ascii="黑体" w:hAnsi="黑体" w:eastAsia="黑体"/>
                <w:color w:val="000000"/>
                <w:szCs w:val="21"/>
              </w:rPr>
            </w:pPr>
            <w:r>
              <w:rPr>
                <w:rFonts w:hint="eastAsia" w:ascii="黑体" w:hAnsi="黑体" w:eastAsia="黑体"/>
                <w:color w:val="000000"/>
                <w:szCs w:val="21"/>
              </w:rPr>
              <w:t>检验方法标准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74" w:type="dxa"/>
            <w:vAlign w:val="center"/>
          </w:tcPr>
          <w:p>
            <w:pPr>
              <w:snapToGrid w:val="0"/>
              <w:spacing w:line="480" w:lineRule="exact"/>
              <w:jc w:val="center"/>
              <w:rPr>
                <w:rFonts w:hint="eastAsia" w:ascii="黑体" w:hAnsi="黑体" w:eastAsia="黑体"/>
                <w:color w:val="000000"/>
                <w:szCs w:val="21"/>
              </w:rPr>
            </w:pPr>
            <w:r>
              <w:rPr>
                <w:rFonts w:hint="eastAsia" w:ascii="黑体" w:hAnsi="黑体" w:eastAsia="黑体"/>
                <w:color w:val="000000"/>
                <w:szCs w:val="21"/>
              </w:rPr>
              <w:t>1</w:t>
            </w:r>
          </w:p>
        </w:tc>
        <w:tc>
          <w:tcPr>
            <w:tcW w:w="2990" w:type="dxa"/>
            <w:vAlign w:val="center"/>
          </w:tcPr>
          <w:p>
            <w:pPr>
              <w:snapToGrid w:val="0"/>
              <w:spacing w:line="480" w:lineRule="exact"/>
              <w:jc w:val="left"/>
              <w:rPr>
                <w:rFonts w:hint="eastAsia" w:ascii="黑体" w:hAnsi="黑体" w:eastAsia="黑体" w:cs="Times New Roman"/>
                <w:color w:val="000000"/>
                <w:szCs w:val="21"/>
              </w:rPr>
            </w:pPr>
            <w:r>
              <w:rPr>
                <w:rFonts w:hint="eastAsia" w:ascii="黑体" w:hAnsi="黑体" w:eastAsia="黑体" w:cs="Times New Roman"/>
                <w:color w:val="000000"/>
                <w:szCs w:val="21"/>
              </w:rPr>
              <w:t>VOC含量</w:t>
            </w:r>
          </w:p>
        </w:tc>
        <w:tc>
          <w:tcPr>
            <w:tcW w:w="1980" w:type="dxa"/>
            <w:vMerge w:val="restart"/>
            <w:vAlign w:val="center"/>
          </w:tcPr>
          <w:p>
            <w:pPr>
              <w:snapToGrid w:val="0"/>
              <w:spacing w:line="480" w:lineRule="exact"/>
              <w:jc w:val="center"/>
              <w:rPr>
                <w:rFonts w:hint="eastAsia" w:ascii="黑体" w:hAnsi="黑体" w:eastAsia="黑体" w:cs="Times New Roman"/>
                <w:color w:val="000000"/>
                <w:szCs w:val="21"/>
              </w:rPr>
            </w:pPr>
            <w:r>
              <w:rPr>
                <w:rFonts w:hint="eastAsia" w:ascii="黑体" w:hAnsi="黑体" w:eastAsia="黑体" w:cs="Times New Roman"/>
                <w:color w:val="000000"/>
                <w:szCs w:val="21"/>
              </w:rPr>
              <w:t>GB 38508-2020 《清洗剂挥发性有机化合物含量限值》</w:t>
            </w:r>
          </w:p>
        </w:tc>
        <w:tc>
          <w:tcPr>
            <w:tcW w:w="2535" w:type="dxa"/>
            <w:vMerge w:val="restart"/>
            <w:vAlign w:val="center"/>
          </w:tcPr>
          <w:p>
            <w:pPr>
              <w:snapToGrid w:val="0"/>
              <w:spacing w:line="480" w:lineRule="exact"/>
              <w:jc w:val="center"/>
              <w:rPr>
                <w:rFonts w:hint="eastAsia" w:ascii="黑体" w:hAnsi="黑体" w:eastAsia="黑体" w:cs="Times New Roman"/>
                <w:color w:val="000000"/>
                <w:szCs w:val="21"/>
              </w:rPr>
            </w:pPr>
            <w:r>
              <w:rPr>
                <w:rFonts w:hint="eastAsia" w:ascii="黑体" w:hAnsi="黑体" w:eastAsia="黑体" w:cs="Times New Roman"/>
                <w:color w:val="000000"/>
                <w:szCs w:val="21"/>
              </w:rPr>
              <w:t>GB 38508-2020 《清洗剂挥发性有机化合物含量限值》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trPr>
        <w:tc>
          <w:tcPr>
            <w:tcW w:w="874" w:type="dxa"/>
            <w:vAlign w:val="center"/>
          </w:tcPr>
          <w:p>
            <w:pPr>
              <w:snapToGrid w:val="0"/>
              <w:spacing w:line="480" w:lineRule="exact"/>
              <w:jc w:val="center"/>
              <w:rPr>
                <w:rFonts w:hint="eastAsia" w:ascii="黑体" w:hAnsi="黑体" w:eastAsia="黑体"/>
                <w:color w:val="000000"/>
                <w:szCs w:val="21"/>
              </w:rPr>
            </w:pPr>
            <w:r>
              <w:rPr>
                <w:rFonts w:hint="eastAsia" w:ascii="黑体" w:hAnsi="黑体" w:eastAsia="黑体"/>
                <w:color w:val="000000"/>
                <w:szCs w:val="21"/>
              </w:rPr>
              <w:t>2</w:t>
            </w:r>
          </w:p>
        </w:tc>
        <w:tc>
          <w:tcPr>
            <w:tcW w:w="2990" w:type="dxa"/>
            <w:vAlign w:val="center"/>
          </w:tcPr>
          <w:p>
            <w:pPr>
              <w:snapToGrid w:val="0"/>
              <w:spacing w:line="480" w:lineRule="exact"/>
              <w:jc w:val="left"/>
              <w:rPr>
                <w:rFonts w:hint="eastAsia" w:ascii="黑体" w:hAnsi="黑体" w:eastAsia="黑体" w:cs="Times New Roman"/>
                <w:color w:val="000000"/>
                <w:szCs w:val="21"/>
              </w:rPr>
            </w:pPr>
            <w:r>
              <w:rPr>
                <w:rFonts w:hint="eastAsia" w:ascii="黑体" w:hAnsi="黑体" w:eastAsia="黑体" w:cs="Times New Roman"/>
                <w:color w:val="000000"/>
                <w:szCs w:val="21"/>
              </w:rPr>
              <w:t>二氯甲烷、三氯甲烷、三氯乙烯、四氯乙烯总和</w:t>
            </w:r>
          </w:p>
        </w:tc>
        <w:tc>
          <w:tcPr>
            <w:tcW w:w="1980" w:type="dxa"/>
            <w:vMerge w:val="continue"/>
            <w:vAlign w:val="center"/>
          </w:tcPr>
          <w:p>
            <w:pPr>
              <w:snapToGrid w:val="0"/>
              <w:spacing w:line="480" w:lineRule="exact"/>
              <w:jc w:val="center"/>
              <w:rPr>
                <w:rFonts w:hint="eastAsia" w:ascii="黑体" w:hAnsi="黑体" w:eastAsia="黑体"/>
                <w:color w:val="000000"/>
                <w:szCs w:val="21"/>
              </w:rPr>
            </w:pPr>
          </w:p>
        </w:tc>
        <w:tc>
          <w:tcPr>
            <w:tcW w:w="2535" w:type="dxa"/>
            <w:vMerge w:val="continue"/>
            <w:vAlign w:val="center"/>
          </w:tcPr>
          <w:p>
            <w:pPr>
              <w:snapToGrid w:val="0"/>
              <w:spacing w:line="480" w:lineRule="exact"/>
              <w:jc w:val="center"/>
              <w:rPr>
                <w:rFonts w:hint="eastAsia" w:ascii="黑体" w:hAnsi="黑体" w:eastAsia="黑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4" w:type="dxa"/>
            <w:vAlign w:val="center"/>
          </w:tcPr>
          <w:p>
            <w:pPr>
              <w:snapToGrid w:val="0"/>
              <w:spacing w:line="480" w:lineRule="exact"/>
              <w:jc w:val="center"/>
              <w:rPr>
                <w:rFonts w:hint="eastAsia" w:ascii="黑体" w:hAnsi="黑体" w:eastAsia="黑体"/>
                <w:color w:val="000000"/>
                <w:szCs w:val="21"/>
              </w:rPr>
            </w:pPr>
            <w:r>
              <w:rPr>
                <w:rFonts w:hint="eastAsia" w:ascii="黑体" w:hAnsi="黑体" w:eastAsia="黑体"/>
                <w:color w:val="000000"/>
                <w:szCs w:val="21"/>
              </w:rPr>
              <w:t>3</w:t>
            </w:r>
          </w:p>
        </w:tc>
        <w:tc>
          <w:tcPr>
            <w:tcW w:w="2990" w:type="dxa"/>
            <w:vAlign w:val="center"/>
          </w:tcPr>
          <w:p>
            <w:pPr>
              <w:snapToGrid w:val="0"/>
              <w:spacing w:line="480" w:lineRule="exact"/>
              <w:jc w:val="left"/>
              <w:rPr>
                <w:rFonts w:hint="eastAsia" w:ascii="黑体" w:hAnsi="黑体" w:eastAsia="黑体" w:cs="Times New Roman"/>
                <w:color w:val="000000"/>
                <w:szCs w:val="21"/>
              </w:rPr>
            </w:pPr>
            <w:r>
              <w:rPr>
                <w:rFonts w:hint="eastAsia" w:ascii="黑体" w:hAnsi="黑体" w:eastAsia="黑体" w:cs="Times New Roman"/>
                <w:color w:val="000000"/>
                <w:szCs w:val="21"/>
              </w:rPr>
              <w:t>甲醛</w:t>
            </w:r>
          </w:p>
        </w:tc>
        <w:tc>
          <w:tcPr>
            <w:tcW w:w="1980" w:type="dxa"/>
            <w:vMerge w:val="continue"/>
            <w:vAlign w:val="center"/>
          </w:tcPr>
          <w:p>
            <w:pPr>
              <w:snapToGrid w:val="0"/>
              <w:spacing w:line="480" w:lineRule="exact"/>
              <w:jc w:val="center"/>
              <w:rPr>
                <w:rFonts w:hint="eastAsia" w:ascii="黑体" w:hAnsi="黑体" w:eastAsia="黑体"/>
                <w:color w:val="000000"/>
                <w:szCs w:val="21"/>
              </w:rPr>
            </w:pPr>
          </w:p>
        </w:tc>
        <w:tc>
          <w:tcPr>
            <w:tcW w:w="2535" w:type="dxa"/>
            <w:vMerge w:val="continue"/>
            <w:vAlign w:val="center"/>
          </w:tcPr>
          <w:p>
            <w:pPr>
              <w:snapToGrid w:val="0"/>
              <w:spacing w:line="480" w:lineRule="exact"/>
              <w:jc w:val="center"/>
              <w:rPr>
                <w:rFonts w:hint="eastAsia" w:ascii="黑体" w:hAnsi="黑体" w:eastAsia="黑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4" w:type="dxa"/>
            <w:vAlign w:val="center"/>
          </w:tcPr>
          <w:p>
            <w:pPr>
              <w:snapToGrid w:val="0"/>
              <w:spacing w:line="480" w:lineRule="exact"/>
              <w:jc w:val="center"/>
              <w:rPr>
                <w:rFonts w:hint="eastAsia" w:ascii="黑体" w:hAnsi="黑体" w:eastAsia="黑体"/>
                <w:color w:val="000000"/>
                <w:szCs w:val="21"/>
              </w:rPr>
            </w:pPr>
            <w:r>
              <w:rPr>
                <w:rFonts w:hint="eastAsia" w:ascii="黑体" w:hAnsi="黑体" w:eastAsia="黑体"/>
                <w:color w:val="000000"/>
                <w:szCs w:val="21"/>
              </w:rPr>
              <w:t>4</w:t>
            </w:r>
          </w:p>
        </w:tc>
        <w:tc>
          <w:tcPr>
            <w:tcW w:w="2990" w:type="dxa"/>
            <w:vAlign w:val="center"/>
          </w:tcPr>
          <w:p>
            <w:pPr>
              <w:snapToGrid w:val="0"/>
              <w:spacing w:line="480" w:lineRule="exact"/>
              <w:jc w:val="left"/>
              <w:rPr>
                <w:rFonts w:hint="eastAsia" w:ascii="黑体" w:hAnsi="黑体" w:eastAsia="黑体" w:cs="Times New Roman"/>
                <w:color w:val="000000"/>
                <w:szCs w:val="21"/>
              </w:rPr>
            </w:pPr>
            <w:r>
              <w:rPr>
                <w:rFonts w:hint="eastAsia" w:ascii="黑体" w:hAnsi="黑体" w:eastAsia="黑体" w:cs="Times New Roman"/>
                <w:color w:val="000000"/>
                <w:szCs w:val="21"/>
              </w:rPr>
              <w:t>苯、甲苯、乙苯和二甲苯总和</w:t>
            </w:r>
          </w:p>
        </w:tc>
        <w:tc>
          <w:tcPr>
            <w:tcW w:w="1980" w:type="dxa"/>
            <w:vMerge w:val="continue"/>
            <w:vAlign w:val="center"/>
          </w:tcPr>
          <w:p>
            <w:pPr>
              <w:snapToGrid w:val="0"/>
              <w:spacing w:line="480" w:lineRule="exact"/>
              <w:jc w:val="center"/>
              <w:rPr>
                <w:rFonts w:hint="eastAsia" w:ascii="黑体" w:hAnsi="黑体" w:eastAsia="黑体"/>
                <w:color w:val="000000"/>
                <w:szCs w:val="21"/>
              </w:rPr>
            </w:pPr>
          </w:p>
        </w:tc>
        <w:tc>
          <w:tcPr>
            <w:tcW w:w="2535" w:type="dxa"/>
            <w:vMerge w:val="continue"/>
            <w:vAlign w:val="center"/>
          </w:tcPr>
          <w:p>
            <w:pPr>
              <w:snapToGrid w:val="0"/>
              <w:spacing w:line="480" w:lineRule="exact"/>
              <w:jc w:val="center"/>
              <w:rPr>
                <w:rFonts w:hint="eastAsia" w:ascii="黑体" w:hAnsi="黑体" w:eastAsia="黑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4" w:type="dxa"/>
            <w:vAlign w:val="center"/>
          </w:tcPr>
          <w:p>
            <w:pPr>
              <w:snapToGrid w:val="0"/>
              <w:spacing w:line="480" w:lineRule="exact"/>
              <w:jc w:val="center"/>
              <w:rPr>
                <w:rFonts w:hint="eastAsia" w:ascii="黑体" w:hAnsi="黑体" w:eastAsia="黑体"/>
                <w:color w:val="000000"/>
                <w:szCs w:val="21"/>
              </w:rPr>
            </w:pPr>
            <w:r>
              <w:rPr>
                <w:rFonts w:hint="eastAsia" w:ascii="黑体" w:hAnsi="黑体" w:eastAsia="黑体"/>
                <w:color w:val="000000"/>
                <w:szCs w:val="21"/>
              </w:rPr>
              <w:t>5</w:t>
            </w:r>
          </w:p>
        </w:tc>
        <w:tc>
          <w:tcPr>
            <w:tcW w:w="2990" w:type="dxa"/>
            <w:vAlign w:val="center"/>
          </w:tcPr>
          <w:p>
            <w:pPr>
              <w:snapToGrid w:val="0"/>
              <w:spacing w:line="480" w:lineRule="exact"/>
              <w:jc w:val="left"/>
              <w:rPr>
                <w:rFonts w:hint="eastAsia" w:ascii="黑体" w:hAnsi="黑体" w:eastAsia="黑体" w:cs="Times New Roman"/>
                <w:color w:val="000000"/>
                <w:szCs w:val="21"/>
              </w:rPr>
            </w:pPr>
            <w:r>
              <w:rPr>
                <w:rFonts w:hint="eastAsia" w:ascii="黑体" w:hAnsi="黑体" w:eastAsia="黑体" w:cs="Times New Roman"/>
                <w:color w:val="000000"/>
                <w:szCs w:val="21"/>
              </w:rPr>
              <w:t>包装标志</w:t>
            </w:r>
          </w:p>
        </w:tc>
        <w:tc>
          <w:tcPr>
            <w:tcW w:w="1980" w:type="dxa"/>
            <w:vMerge w:val="continue"/>
            <w:vAlign w:val="center"/>
          </w:tcPr>
          <w:p>
            <w:pPr>
              <w:snapToGrid w:val="0"/>
              <w:spacing w:line="480" w:lineRule="exact"/>
              <w:jc w:val="center"/>
              <w:rPr>
                <w:rFonts w:hint="eastAsia" w:ascii="黑体" w:hAnsi="黑体" w:eastAsia="黑体"/>
                <w:color w:val="000000"/>
                <w:szCs w:val="21"/>
              </w:rPr>
            </w:pPr>
          </w:p>
        </w:tc>
        <w:tc>
          <w:tcPr>
            <w:tcW w:w="2535" w:type="dxa"/>
            <w:vMerge w:val="continue"/>
            <w:vAlign w:val="center"/>
          </w:tcPr>
          <w:p>
            <w:pPr>
              <w:snapToGrid w:val="0"/>
              <w:spacing w:line="480" w:lineRule="exact"/>
              <w:jc w:val="center"/>
              <w:rPr>
                <w:rFonts w:ascii="黑体" w:hAnsi="黑体" w:eastAsia="黑体"/>
                <w:color w:val="000000"/>
                <w:szCs w:val="21"/>
              </w:rPr>
            </w:pPr>
          </w:p>
        </w:tc>
      </w:tr>
    </w:tbl>
    <w:p>
      <w:pPr>
        <w:spacing w:line="580" w:lineRule="exact"/>
        <w:ind w:firstLine="56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检验方法包括相关产品标准及试验方法标准。</w:t>
      </w:r>
    </w:p>
    <w:p>
      <w:pPr>
        <w:snapToGrid w:val="0"/>
        <w:spacing w:line="580" w:lineRule="exact"/>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凡是注日期的文件，其随后所有的修改单（不包括勘误的内容）或修订版不适用于本细则。凡是不注日期的文件，其最新版本适用于本细则。</w:t>
      </w:r>
    </w:p>
    <w:p>
      <w:pPr>
        <w:snapToGrid w:val="0"/>
        <w:spacing w:line="580" w:lineRule="exact"/>
        <w:ind w:firstLine="640" w:firstLineChars="200"/>
        <w:jc w:val="left"/>
        <w:rPr>
          <w:rFonts w:hint="eastAsia"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rPr>
        <w:t>4</w:t>
      </w:r>
      <w:r>
        <w:rPr>
          <w:rFonts w:ascii="方正仿宋_GBK" w:hAnsi="方正仿宋_GBK" w:eastAsia="方正仿宋_GBK" w:cs="方正仿宋_GBK"/>
          <w:b/>
          <w:sz w:val="32"/>
          <w:szCs w:val="32"/>
        </w:rPr>
        <w:t>.</w:t>
      </w:r>
      <w:r>
        <w:rPr>
          <w:rFonts w:hint="eastAsia" w:ascii="方正仿宋_GBK" w:hAnsi="方正仿宋_GBK" w:eastAsia="方正仿宋_GBK" w:cs="方正仿宋_GBK"/>
          <w:b/>
          <w:sz w:val="32"/>
          <w:szCs w:val="32"/>
        </w:rPr>
        <w:t>判定规则</w:t>
      </w:r>
    </w:p>
    <w:p>
      <w:pPr>
        <w:spacing w:line="580" w:lineRule="exact"/>
        <w:ind w:firstLine="56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4.1依据标准</w:t>
      </w:r>
    </w:p>
    <w:p>
      <w:pPr>
        <w:spacing w:line="580" w:lineRule="exact"/>
        <w:ind w:firstLine="560"/>
        <w:rPr>
          <w:rFonts w:hint="eastAsia" w:ascii="Times New Roman" w:hAnsi="Times New Roman" w:eastAsia="方正黑体_GBK" w:cs="Times New Roman"/>
          <w:kern w:val="0"/>
          <w:sz w:val="32"/>
          <w:szCs w:val="32"/>
          <w:shd w:val="clear" w:color="auto" w:fill="FFFFFF"/>
        </w:rPr>
      </w:pPr>
      <w:r>
        <w:rPr>
          <w:rFonts w:hint="eastAsia" w:ascii="方正仿宋_GBK" w:hAnsi="方正仿宋_GBK" w:eastAsia="方正仿宋_GBK" w:cs="方正仿宋_GBK"/>
          <w:sz w:val="32"/>
          <w:szCs w:val="32"/>
        </w:rPr>
        <w:t xml:space="preserve"> GB 38508-2020 《清洗剂挥发性有机化合物含量限值》</w:t>
      </w:r>
    </w:p>
    <w:p>
      <w:pPr>
        <w:spacing w:line="580" w:lineRule="exact"/>
        <w:ind w:firstLine="56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相关的法律法规、部门规章和规范</w:t>
      </w:r>
    </w:p>
    <w:p>
      <w:pPr>
        <w:spacing w:line="580" w:lineRule="exact"/>
        <w:ind w:firstLine="56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经备案现行有效的企业标准及产品明示质量要求。</w:t>
      </w:r>
    </w:p>
    <w:p>
      <w:pPr>
        <w:spacing w:line="580" w:lineRule="exact"/>
        <w:ind w:firstLine="56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4.2判定原则</w:t>
      </w:r>
    </w:p>
    <w:p>
      <w:pPr>
        <w:spacing w:line="580" w:lineRule="exact"/>
        <w:ind w:firstLine="56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经检验，产品所检项目均符合本规则规定的标准要求，判为合格；产品所检项目有一项或一项以上不符合本规则规定的产品标准的，判为不合格。</w:t>
      </w:r>
    </w:p>
    <w:p>
      <w:pPr>
        <w:spacing w:line="580" w:lineRule="exact"/>
        <w:ind w:firstLine="56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若被检产品明示的质量要求高于本细则中检验项目依据的标准要求时，应按被检产品明示的质量要求判定。</w:t>
      </w:r>
    </w:p>
    <w:p>
      <w:pPr>
        <w:spacing w:line="580" w:lineRule="exact"/>
        <w:ind w:firstLine="56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若被检产品明示的质量要求低于本细则中检验项目依据的强制性标准要求时，应按照强制性标准要求判定。</w:t>
      </w:r>
    </w:p>
    <w:p>
      <w:pPr>
        <w:spacing w:line="580" w:lineRule="exact"/>
        <w:ind w:firstLine="56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若被检产品明示的质量要求低于或包含细则中检验项目依据的推荐性标准要求时，应以被检产品明示的质量要求判定，但应在检验报告备注中进行说明。</w:t>
      </w:r>
    </w:p>
    <w:p>
      <w:pPr>
        <w:spacing w:line="580" w:lineRule="exact"/>
        <w:ind w:firstLine="56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若被检产品明示的质量要求缺少本细则中检验项目依据的强制性标准要求时，应按照强制性标准要求判定。</w:t>
      </w:r>
    </w:p>
    <w:p>
      <w:pPr>
        <w:spacing w:line="580" w:lineRule="exact"/>
        <w:ind w:firstLine="56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若被检产品明示的质量要求缺少本细则中检验项目依据的推荐性标准要求时，该项目不参与判定，但应在检验报告备注中进行说明。</w:t>
      </w:r>
    </w:p>
    <w:p>
      <w:pPr>
        <w:spacing w:line="580" w:lineRule="exact"/>
        <w:ind w:firstLine="640" w:firstLineChars="200"/>
        <w:rPr>
          <w:rFonts w:hint="eastAsia" w:ascii="方正黑体_GBK" w:hAnsi="方正仿宋_GBK" w:eastAsia="方正黑体_GBK" w:cs="方正仿宋_GBK"/>
          <w:b/>
          <w:kern w:val="0"/>
          <w:sz w:val="32"/>
          <w:szCs w:val="32"/>
          <w:shd w:val="clear" w:color="auto" w:fill="FFFFFF"/>
        </w:rPr>
      </w:pPr>
      <w:r>
        <w:rPr>
          <w:rFonts w:hint="eastAsia" w:ascii="Times New Roman" w:hAnsi="Times New Roman" w:eastAsia="方正黑体_GBK" w:cs="Times New Roman"/>
          <w:b/>
          <w:kern w:val="0"/>
          <w:sz w:val="32"/>
          <w:szCs w:val="32"/>
          <w:shd w:val="clear" w:color="auto" w:fill="FFFFFF"/>
        </w:rPr>
        <w:t>5</w:t>
      </w:r>
      <w:r>
        <w:rPr>
          <w:rFonts w:ascii="Times New Roman" w:hAnsi="Times New Roman" w:eastAsia="方正黑体_GBK" w:cs="Times New Roman"/>
          <w:b/>
          <w:kern w:val="0"/>
          <w:sz w:val="32"/>
          <w:szCs w:val="32"/>
          <w:shd w:val="clear" w:color="auto" w:fill="FFFFFF"/>
        </w:rPr>
        <w:t>.</w:t>
      </w:r>
      <w:r>
        <w:rPr>
          <w:rFonts w:hint="eastAsia" w:ascii="方正黑体_GBK" w:hAnsi="方正仿宋_GBK" w:eastAsia="方正黑体_GBK" w:cs="方正仿宋_GBK"/>
          <w:b/>
          <w:kern w:val="0"/>
          <w:sz w:val="32"/>
          <w:szCs w:val="32"/>
          <w:shd w:val="clear" w:color="auto" w:fill="FFFFFF"/>
        </w:rPr>
        <w:t>异议处理</w:t>
      </w:r>
    </w:p>
    <w:p>
      <w:pPr>
        <w:spacing w:line="58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5.1</w:t>
      </w:r>
      <w:r>
        <w:rPr>
          <w:rFonts w:ascii="方正仿宋_GBK" w:hAnsi="方正仿宋_GBK" w:eastAsia="方正仿宋_GBK" w:cs="方正仿宋_GBK"/>
          <w:sz w:val="32"/>
          <w:szCs w:val="32"/>
        </w:rPr>
        <w:t>对监督抽查程序有异议的，由任务下达部门核查相关证据后维持或者撤销原检验结果</w:t>
      </w:r>
      <w:r>
        <w:rPr>
          <w:rFonts w:hint="eastAsia" w:ascii="方正仿宋_GBK" w:hAnsi="方正仿宋_GBK" w:eastAsia="方正仿宋_GBK" w:cs="方正仿宋_GBK"/>
          <w:sz w:val="32"/>
          <w:szCs w:val="32"/>
        </w:rPr>
        <w:t>。</w:t>
      </w:r>
    </w:p>
    <w:p>
      <w:pPr>
        <w:spacing w:line="58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5.2</w:t>
      </w:r>
      <w:r>
        <w:rPr>
          <w:rFonts w:ascii="方正仿宋_GBK" w:hAnsi="方正仿宋_GBK" w:eastAsia="方正仿宋_GBK" w:cs="方正仿宋_GBK"/>
          <w:sz w:val="32"/>
          <w:szCs w:val="32"/>
        </w:rPr>
        <w:t>对检验结果有异议的，任务下达部门核查相关证据，能够证明原检验结果准确的，维持原检验结果；不能证明原检验结果准确，需要进行复检的，由任务下达部门指定复检机构进行复检，复检结果为本次监督抽查最终结论。</w:t>
      </w:r>
    </w:p>
    <w:p>
      <w:pPr>
        <w:spacing w:line="58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5.3</w:t>
      </w:r>
      <w:r>
        <w:rPr>
          <w:rFonts w:ascii="方正仿宋_GBK" w:hAnsi="方正仿宋_GBK" w:eastAsia="方正仿宋_GBK" w:cs="方正仿宋_GBK"/>
          <w:sz w:val="32"/>
          <w:szCs w:val="32"/>
        </w:rPr>
        <w:t>对样品信息有异议的，任务下达部门核查样品确认情况和生产企业提交证明材料后，维持或者撤销原检验结果。</w:t>
      </w:r>
    </w:p>
    <w:p>
      <w:pPr>
        <w:snapToGrid w:val="0"/>
        <w:spacing w:line="580" w:lineRule="exact"/>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5.4不进行复检的情况：无。</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方正黑体_GBK">
    <w:altName w:val="微软雅黑"/>
    <w:panose1 w:val="00000000000000000000"/>
    <w:charset w:val="86"/>
    <w:family w:val="script"/>
    <w:pitch w:val="default"/>
    <w:sig w:usb0="00000000" w:usb1="00000000" w:usb2="00000000" w:usb3="00000000" w:csb0="00040000" w:csb1="00000000"/>
  </w:font>
  <w:font w:name="方正仿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6F3230"/>
    <w:rsid w:val="000B2D01"/>
    <w:rsid w:val="001B7783"/>
    <w:rsid w:val="006F3230"/>
    <w:rsid w:val="00796224"/>
    <w:rsid w:val="00854946"/>
    <w:rsid w:val="00913A30"/>
    <w:rsid w:val="00B13172"/>
    <w:rsid w:val="00BB2D27"/>
    <w:rsid w:val="00CC6E42"/>
    <w:rsid w:val="08406FFD"/>
    <w:rsid w:val="25004C39"/>
    <w:rsid w:val="3F5339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Char"/>
    <w:basedOn w:val="1"/>
    <w:qFormat/>
    <w:uiPriority w:val="0"/>
    <w:pPr>
      <w:widowControl/>
      <w:spacing w:after="160" w:line="240" w:lineRule="exact"/>
      <w:jc w:val="left"/>
    </w:pPr>
    <w:rPr>
      <w:rFonts w:ascii="Verdana" w:hAnsi="Verdana" w:eastAsia="宋体" w:cs="Times New Roman"/>
      <w:kern w:val="0"/>
      <w:sz w:val="18"/>
      <w:szCs w:val="20"/>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4</Pages>
  <Words>236</Words>
  <Characters>1351</Characters>
  <Lines>11</Lines>
  <Paragraphs>3</Paragraphs>
  <TotalTime>2</TotalTime>
  <ScaleCrop>false</ScaleCrop>
  <LinksUpToDate>false</LinksUpToDate>
  <CharactersWithSpaces>1584</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2021-08-04T07:33:00Z</dcterms:created>
  <dc:creator>徐楠楠</dc:creator>
  <cp:lastModifiedBy>徐文君</cp:lastModifiedBy>
  <dcterms:modified xsi:type="dcterms:W3CDTF">2021-08-06T02:55:52Z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9E900884E3F24F5697F1EF4DFC84DF22</vt:lpwstr>
  </property>
</Properties>
</file>